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1232D" w14:textId="77777777" w:rsidR="00C41014" w:rsidRDefault="00C41014" w:rsidP="001E086C">
      <w:pPr>
        <w:pStyle w:val="Heading1"/>
        <w:ind w:left="2880"/>
        <w:jc w:val="both"/>
      </w:pPr>
      <w:r w:rsidRPr="00C41014">
        <w:rPr>
          <w:noProof/>
        </w:rPr>
        <w:drawing>
          <wp:inline distT="0" distB="0" distL="0" distR="0" wp14:anchorId="46827E3A" wp14:editId="0952BE3C">
            <wp:extent cx="1708150" cy="812800"/>
            <wp:effectExtent l="0" t="0" r="6350" b="6350"/>
            <wp:docPr id="8230903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090316" name=""/>
                    <pic:cNvPicPr/>
                  </pic:nvPicPr>
                  <pic:blipFill>
                    <a:blip r:embed="rId6"/>
                    <a:stretch>
                      <a:fillRect/>
                    </a:stretch>
                  </pic:blipFill>
                  <pic:spPr>
                    <a:xfrm>
                      <a:off x="0" y="0"/>
                      <a:ext cx="1708400" cy="812919"/>
                    </a:xfrm>
                    <a:prstGeom prst="rect">
                      <a:avLst/>
                    </a:prstGeom>
                  </pic:spPr>
                </pic:pic>
              </a:graphicData>
            </a:graphic>
          </wp:inline>
        </w:drawing>
      </w:r>
    </w:p>
    <w:p w14:paraId="03D64F53" w14:textId="53D5119A" w:rsidR="00BA6736" w:rsidRDefault="00053609" w:rsidP="001E086C">
      <w:pPr>
        <w:pStyle w:val="Heading1"/>
        <w:jc w:val="both"/>
      </w:pPr>
      <w:r>
        <w:t xml:space="preserve">Carbon Reduction Plan – </w:t>
      </w:r>
      <w:proofErr w:type="spellStart"/>
      <w:r>
        <w:t>Teonfa</w:t>
      </w:r>
      <w:proofErr w:type="spellEnd"/>
      <w:r>
        <w:t xml:space="preserve"> Ltd</w:t>
      </w:r>
    </w:p>
    <w:p w14:paraId="4FADE696" w14:textId="02D8C25B" w:rsidR="00BA6736" w:rsidRDefault="00053609" w:rsidP="001E086C">
      <w:pPr>
        <w:jc w:val="both"/>
      </w:pPr>
      <w:r>
        <w:t>Publication Date:09/10/2025</w:t>
      </w:r>
    </w:p>
    <w:p w14:paraId="5D73F49D" w14:textId="77777777" w:rsidR="00BA6736" w:rsidRDefault="00053609" w:rsidP="001E086C">
      <w:pPr>
        <w:pStyle w:val="Heading2"/>
        <w:jc w:val="both"/>
      </w:pPr>
      <w:r>
        <w:t>Commitment to Achieving Net Zero</w:t>
      </w:r>
    </w:p>
    <w:p w14:paraId="447C08FF" w14:textId="5F45554B" w:rsidR="00BA6736" w:rsidRDefault="00053609" w:rsidP="001E086C">
      <w:pPr>
        <w:jc w:val="both"/>
      </w:pPr>
      <w:proofErr w:type="spellStart"/>
      <w:r>
        <w:t>Teonfa</w:t>
      </w:r>
      <w:proofErr w:type="spellEnd"/>
      <w:r>
        <w:t xml:space="preserve"> Ltd is committed to achieving Net Zero greenhouse gas emissions by 2050, in line with the UK Government’s national target and the NHS’s ambition for a Net Zero health and social care system. This commitment reflects our dedication to sustainability, environmental responsibility, and the delivery of high-quality, low-carbon domiciliary and supported living services.</w:t>
      </w:r>
      <w:r w:rsidR="005209B4">
        <w:t xml:space="preserve"> </w:t>
      </w:r>
      <w:r w:rsidR="005209B4" w:rsidRPr="005209B4">
        <w:t xml:space="preserve">This Carbon Reduction Plan will be </w:t>
      </w:r>
      <w:r w:rsidR="005209B4" w:rsidRPr="005209B4">
        <w:rPr>
          <w:b/>
          <w:bCs/>
        </w:rPr>
        <w:t>reviewed and updated annually</w:t>
      </w:r>
      <w:r w:rsidR="005209B4" w:rsidRPr="005209B4">
        <w:t xml:space="preserve"> to reflect progress, changes in operations, and evolving sustainability standards.</w:t>
      </w:r>
    </w:p>
    <w:p w14:paraId="6571EFEF" w14:textId="77777777" w:rsidR="00BA6736" w:rsidRDefault="00053609" w:rsidP="001E086C">
      <w:pPr>
        <w:pStyle w:val="Heading2"/>
        <w:jc w:val="both"/>
      </w:pPr>
      <w:r>
        <w:t>Baseline Year: 2010</w:t>
      </w:r>
    </w:p>
    <w:p w14:paraId="5F0E80BC" w14:textId="77777777" w:rsidR="00BA6736" w:rsidRDefault="00053609" w:rsidP="001E086C">
      <w:pPr>
        <w:jc w:val="both"/>
      </w:pPr>
      <w:r>
        <w:t xml:space="preserve">Our baseline year is 2010, representing </w:t>
      </w:r>
      <w:proofErr w:type="spellStart"/>
      <w:r>
        <w:t>Teonfa</w:t>
      </w:r>
      <w:proofErr w:type="spellEnd"/>
      <w:r>
        <w:t xml:space="preserve"> </w:t>
      </w:r>
      <w:proofErr w:type="spellStart"/>
      <w:r>
        <w:t>Ltd’s</w:t>
      </w:r>
      <w:proofErr w:type="spellEnd"/>
      <w:r>
        <w:t xml:space="preserve"> first full year of operation. Baseline emissions were calculated using the Greenhouse Gas (GHG) Protocol Corporate Accounting and Reporting Standard, covering Scope 1 (direct), Scope 2 (indirect energy), and Scope 3 (other indirect) emissions. Data sources included energy usage, staff travel logs, and waste management estimates.</w:t>
      </w:r>
    </w:p>
    <w:p w14:paraId="59FA7C70" w14:textId="77777777" w:rsidR="00C41014" w:rsidRDefault="00053609" w:rsidP="001E086C">
      <w:pPr>
        <w:jc w:val="both"/>
      </w:pPr>
      <w:r>
        <w:t xml:space="preserve">During the baseline year, </w:t>
      </w:r>
      <w:proofErr w:type="spellStart"/>
      <w:r>
        <w:t>Teonfa</w:t>
      </w:r>
      <w:proofErr w:type="spellEnd"/>
      <w:r>
        <w:t xml:space="preserve"> Ltd:</w:t>
      </w:r>
    </w:p>
    <w:p w14:paraId="4A52C621" w14:textId="0116167E" w:rsidR="00D83365" w:rsidRDefault="00053609" w:rsidP="001E086C">
      <w:pPr>
        <w:pStyle w:val="ListParagraph"/>
        <w:numPr>
          <w:ilvl w:val="0"/>
          <w:numId w:val="13"/>
        </w:numPr>
        <w:jc w:val="both"/>
      </w:pPr>
      <w:r>
        <w:t>Operated from one primary office in Luton, Bedfordshire, with approximately 60 staff delivering domiciliary and supported living care across Bedfordshire and Berkshire.</w:t>
      </w:r>
      <w:r w:rsidR="00D83365">
        <w:t xml:space="preserve"> </w:t>
      </w:r>
    </w:p>
    <w:p w14:paraId="0A8FBE00" w14:textId="77777777" w:rsidR="00C41014" w:rsidRDefault="00053609" w:rsidP="001E086C">
      <w:pPr>
        <w:pStyle w:val="ListParagraph"/>
        <w:numPr>
          <w:ilvl w:val="0"/>
          <w:numId w:val="13"/>
        </w:numPr>
        <w:jc w:val="both"/>
      </w:pPr>
      <w:r>
        <w:t>Recorded most Scope 3 emissions from business travel and community care mileage.</w:t>
      </w:r>
    </w:p>
    <w:p w14:paraId="2F6FBA8A" w14:textId="77777777" w:rsidR="00C41014" w:rsidRDefault="00053609" w:rsidP="001E086C">
      <w:pPr>
        <w:pStyle w:val="ListParagraph"/>
        <w:numPr>
          <w:ilvl w:val="0"/>
          <w:numId w:val="13"/>
        </w:numPr>
        <w:jc w:val="both"/>
      </w:pPr>
      <w:r>
        <w:t>Engaged key suppliers, estimated via spend-based methodology to calculate indirect emissions.</w:t>
      </w:r>
    </w:p>
    <w:p w14:paraId="2DFBDA8E" w14:textId="77D377DC" w:rsidR="00BA6736" w:rsidRDefault="00060D7C" w:rsidP="001E086C">
      <w:pPr>
        <w:pStyle w:val="ListParagraph"/>
        <w:numPr>
          <w:ilvl w:val="0"/>
          <w:numId w:val="13"/>
        </w:numPr>
        <w:jc w:val="both"/>
      </w:pPr>
      <w:r>
        <w:t>Adjusted for an unusually cold winter (degree-day correction) and excluded non-representative, one-off business events.</w:t>
      </w:r>
    </w:p>
    <w:p w14:paraId="38E0E8D0" w14:textId="27503593" w:rsidR="00D83365" w:rsidRDefault="00D83365" w:rsidP="001E086C">
      <w:pPr>
        <w:pStyle w:val="ListParagraph"/>
        <w:numPr>
          <w:ilvl w:val="0"/>
          <w:numId w:val="13"/>
        </w:numPr>
        <w:jc w:val="both"/>
      </w:pPr>
      <w:r w:rsidRPr="00D83365">
        <w:t xml:space="preserve">Although overall staffing levels have remained broadly stable, </w:t>
      </w:r>
      <w:proofErr w:type="spellStart"/>
      <w:r w:rsidRPr="00D83365">
        <w:t>Teonfa</w:t>
      </w:r>
      <w:proofErr w:type="spellEnd"/>
      <w:r w:rsidRPr="00D83365">
        <w:t xml:space="preserve"> Ltd has significantly improved operational efficiency, vehicle performance, and renewable energy use, leading to a genuine decrease in carbon intensity per employee.</w:t>
      </w:r>
    </w:p>
    <w:p w14:paraId="31FC342E" w14:textId="77777777" w:rsidR="00BA6736" w:rsidRDefault="00053609" w:rsidP="001E086C">
      <w:pPr>
        <w:pStyle w:val="Heading2"/>
        <w:jc w:val="both"/>
      </w:pPr>
      <w:r>
        <w:t>Baseline Emissions (</w:t>
      </w:r>
      <w:proofErr w:type="spellStart"/>
      <w:r>
        <w:t>tCO₂e</w:t>
      </w:r>
      <w:proofErr w:type="spellEnd"/>
      <w:r>
        <w:t>)</w:t>
      </w:r>
    </w:p>
    <w:tbl>
      <w:tblPr>
        <w:tblStyle w:val="LightGrid"/>
        <w:tblW w:w="0" w:type="auto"/>
        <w:tblLook w:val="04A0" w:firstRow="1" w:lastRow="0" w:firstColumn="1" w:lastColumn="0" w:noHBand="0" w:noVBand="1"/>
      </w:tblPr>
      <w:tblGrid>
        <w:gridCol w:w="4310"/>
        <w:gridCol w:w="4310"/>
      </w:tblGrid>
      <w:tr w:rsidR="00BA6736" w14:paraId="70D0602C" w14:textId="77777777" w:rsidTr="00BA67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336AA433" w14:textId="77777777" w:rsidR="00BA6736" w:rsidRDefault="00053609" w:rsidP="001E086C">
            <w:pPr>
              <w:jc w:val="both"/>
            </w:pPr>
            <w:r>
              <w:t>Scope 1</w:t>
            </w:r>
          </w:p>
        </w:tc>
        <w:tc>
          <w:tcPr>
            <w:tcW w:w="4320" w:type="dxa"/>
          </w:tcPr>
          <w:p w14:paraId="1D2A0A0D" w14:textId="77777777" w:rsidR="00BA6736" w:rsidRDefault="00053609" w:rsidP="001E086C">
            <w:pPr>
              <w:jc w:val="both"/>
              <w:cnfStyle w:val="100000000000" w:firstRow="1" w:lastRow="0" w:firstColumn="0" w:lastColumn="0" w:oddVBand="0" w:evenVBand="0" w:oddHBand="0" w:evenHBand="0" w:firstRowFirstColumn="0" w:firstRowLastColumn="0" w:lastRowFirstColumn="0" w:lastRowLastColumn="0"/>
            </w:pPr>
            <w:r>
              <w:t>8.21</w:t>
            </w:r>
          </w:p>
        </w:tc>
      </w:tr>
      <w:tr w:rsidR="00BA6736" w14:paraId="48197D39" w14:textId="77777777" w:rsidTr="00BA67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050674D2" w14:textId="77777777" w:rsidR="00BA6736" w:rsidRDefault="00053609" w:rsidP="001E086C">
            <w:pPr>
              <w:jc w:val="both"/>
            </w:pPr>
            <w:r>
              <w:t>Scope 2</w:t>
            </w:r>
          </w:p>
        </w:tc>
        <w:tc>
          <w:tcPr>
            <w:tcW w:w="4320" w:type="dxa"/>
          </w:tcPr>
          <w:p w14:paraId="63BC4114" w14:textId="77777777" w:rsidR="00BA6736" w:rsidRDefault="00053609" w:rsidP="001E086C">
            <w:pPr>
              <w:jc w:val="both"/>
              <w:cnfStyle w:val="000000100000" w:firstRow="0" w:lastRow="0" w:firstColumn="0" w:lastColumn="0" w:oddVBand="0" w:evenVBand="0" w:oddHBand="1" w:evenHBand="0" w:firstRowFirstColumn="0" w:firstRowLastColumn="0" w:lastRowFirstColumn="0" w:lastRowLastColumn="0"/>
            </w:pPr>
            <w:r>
              <w:t>20.543</w:t>
            </w:r>
          </w:p>
        </w:tc>
      </w:tr>
      <w:tr w:rsidR="00BA6736" w14:paraId="78846563" w14:textId="77777777" w:rsidTr="00BA67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14E5CF33" w14:textId="77777777" w:rsidR="00BA6736" w:rsidRDefault="00053609" w:rsidP="001E086C">
            <w:pPr>
              <w:jc w:val="both"/>
            </w:pPr>
            <w:r>
              <w:t>Scope 3</w:t>
            </w:r>
          </w:p>
        </w:tc>
        <w:tc>
          <w:tcPr>
            <w:tcW w:w="4320" w:type="dxa"/>
          </w:tcPr>
          <w:p w14:paraId="4F4A82AF" w14:textId="77777777" w:rsidR="00BA6736" w:rsidRDefault="00053609" w:rsidP="001E086C">
            <w:pPr>
              <w:jc w:val="both"/>
              <w:cnfStyle w:val="000000010000" w:firstRow="0" w:lastRow="0" w:firstColumn="0" w:lastColumn="0" w:oddVBand="0" w:evenVBand="0" w:oddHBand="0" w:evenHBand="1" w:firstRowFirstColumn="0" w:firstRowLastColumn="0" w:lastRowFirstColumn="0" w:lastRowLastColumn="0"/>
            </w:pPr>
            <w:r>
              <w:t>75.17</w:t>
            </w:r>
          </w:p>
        </w:tc>
      </w:tr>
      <w:tr w:rsidR="00BA6736" w14:paraId="73058F4B" w14:textId="77777777" w:rsidTr="00BA67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0A3283CD" w14:textId="77777777" w:rsidR="00BA6736" w:rsidRDefault="00053609" w:rsidP="001E086C">
            <w:pPr>
              <w:jc w:val="both"/>
            </w:pPr>
            <w:r>
              <w:t>Total</w:t>
            </w:r>
          </w:p>
        </w:tc>
        <w:tc>
          <w:tcPr>
            <w:tcW w:w="4320" w:type="dxa"/>
          </w:tcPr>
          <w:p w14:paraId="4EF6F443" w14:textId="77777777" w:rsidR="00BA6736" w:rsidRDefault="00053609" w:rsidP="001E086C">
            <w:pPr>
              <w:jc w:val="both"/>
              <w:cnfStyle w:val="000000100000" w:firstRow="0" w:lastRow="0" w:firstColumn="0" w:lastColumn="0" w:oddVBand="0" w:evenVBand="0" w:oddHBand="1" w:evenHBand="0" w:firstRowFirstColumn="0" w:firstRowLastColumn="0" w:lastRowFirstColumn="0" w:lastRowLastColumn="0"/>
            </w:pPr>
            <w:r>
              <w:t>103.923</w:t>
            </w:r>
          </w:p>
        </w:tc>
      </w:tr>
    </w:tbl>
    <w:p w14:paraId="37573219" w14:textId="77777777" w:rsidR="00BA6736" w:rsidRDefault="00053609" w:rsidP="001E086C">
      <w:pPr>
        <w:pStyle w:val="Heading2"/>
        <w:jc w:val="both"/>
      </w:pPr>
      <w:r>
        <w:lastRenderedPageBreak/>
        <w:t>Current Emissions (</w:t>
      </w:r>
      <w:proofErr w:type="spellStart"/>
      <w:r>
        <w:t>tCO₂e</w:t>
      </w:r>
      <w:proofErr w:type="spellEnd"/>
      <w:r>
        <w:t>)</w:t>
      </w:r>
    </w:p>
    <w:tbl>
      <w:tblPr>
        <w:tblStyle w:val="LightGrid"/>
        <w:tblW w:w="0" w:type="auto"/>
        <w:tblLook w:val="04A0" w:firstRow="1" w:lastRow="0" w:firstColumn="1" w:lastColumn="0" w:noHBand="0" w:noVBand="1"/>
      </w:tblPr>
      <w:tblGrid>
        <w:gridCol w:w="4310"/>
        <w:gridCol w:w="4310"/>
      </w:tblGrid>
      <w:tr w:rsidR="00BA6736" w14:paraId="12595433" w14:textId="77777777" w:rsidTr="00BA67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2729BAAE" w14:textId="77777777" w:rsidR="00BA6736" w:rsidRDefault="00053609" w:rsidP="001E086C">
            <w:pPr>
              <w:jc w:val="both"/>
            </w:pPr>
            <w:r>
              <w:t>Scope 1</w:t>
            </w:r>
          </w:p>
        </w:tc>
        <w:tc>
          <w:tcPr>
            <w:tcW w:w="4320" w:type="dxa"/>
          </w:tcPr>
          <w:p w14:paraId="06EB77A3" w14:textId="77777777" w:rsidR="00BA6736" w:rsidRDefault="00053609" w:rsidP="001E086C">
            <w:pPr>
              <w:jc w:val="both"/>
              <w:cnfStyle w:val="100000000000" w:firstRow="1" w:lastRow="0" w:firstColumn="0" w:lastColumn="0" w:oddVBand="0" w:evenVBand="0" w:oddHBand="0" w:evenHBand="0" w:firstRowFirstColumn="0" w:firstRowLastColumn="0" w:lastRowFirstColumn="0" w:lastRowLastColumn="0"/>
            </w:pPr>
            <w:r>
              <w:t>4.62</w:t>
            </w:r>
          </w:p>
        </w:tc>
      </w:tr>
      <w:tr w:rsidR="00BA6736" w14:paraId="16A1F9C9" w14:textId="77777777" w:rsidTr="00BA67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07FFF3E9" w14:textId="77777777" w:rsidR="00BA6736" w:rsidRDefault="00053609" w:rsidP="001E086C">
            <w:pPr>
              <w:jc w:val="both"/>
            </w:pPr>
            <w:r>
              <w:t>Scope 2</w:t>
            </w:r>
          </w:p>
        </w:tc>
        <w:tc>
          <w:tcPr>
            <w:tcW w:w="4320" w:type="dxa"/>
          </w:tcPr>
          <w:p w14:paraId="013CDAC9" w14:textId="77777777" w:rsidR="00BA6736" w:rsidRDefault="00053609" w:rsidP="001E086C">
            <w:pPr>
              <w:jc w:val="both"/>
              <w:cnfStyle w:val="000000100000" w:firstRow="0" w:lastRow="0" w:firstColumn="0" w:lastColumn="0" w:oddVBand="0" w:evenVBand="0" w:oddHBand="1" w:evenHBand="0" w:firstRowFirstColumn="0" w:firstRowLastColumn="0" w:lastRowFirstColumn="0" w:lastRowLastColumn="0"/>
            </w:pPr>
            <w:r>
              <w:t>12.565</w:t>
            </w:r>
          </w:p>
        </w:tc>
      </w:tr>
      <w:tr w:rsidR="00BA6736" w14:paraId="2D9FF933" w14:textId="77777777" w:rsidTr="00BA67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5EF8404D" w14:textId="77777777" w:rsidR="00BA6736" w:rsidRDefault="00053609" w:rsidP="001E086C">
            <w:pPr>
              <w:jc w:val="both"/>
            </w:pPr>
            <w:r>
              <w:t>Scope 3</w:t>
            </w:r>
          </w:p>
        </w:tc>
        <w:tc>
          <w:tcPr>
            <w:tcW w:w="4320" w:type="dxa"/>
          </w:tcPr>
          <w:p w14:paraId="74C7BCB9" w14:textId="77777777" w:rsidR="00BA6736" w:rsidRDefault="00053609" w:rsidP="001E086C">
            <w:pPr>
              <w:jc w:val="both"/>
              <w:cnfStyle w:val="000000010000" w:firstRow="0" w:lastRow="0" w:firstColumn="0" w:lastColumn="0" w:oddVBand="0" w:evenVBand="0" w:oddHBand="0" w:evenHBand="1" w:firstRowFirstColumn="0" w:firstRowLastColumn="0" w:lastRowFirstColumn="0" w:lastRowLastColumn="0"/>
            </w:pPr>
            <w:r>
              <w:t>25.68</w:t>
            </w:r>
          </w:p>
        </w:tc>
      </w:tr>
      <w:tr w:rsidR="00BA6736" w14:paraId="067B4DC1" w14:textId="77777777" w:rsidTr="00BA67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20" w:type="dxa"/>
          </w:tcPr>
          <w:p w14:paraId="6D27D3E5" w14:textId="77777777" w:rsidR="00BA6736" w:rsidRDefault="00053609" w:rsidP="001E086C">
            <w:pPr>
              <w:jc w:val="both"/>
            </w:pPr>
            <w:r>
              <w:t>Total</w:t>
            </w:r>
          </w:p>
        </w:tc>
        <w:tc>
          <w:tcPr>
            <w:tcW w:w="4320" w:type="dxa"/>
          </w:tcPr>
          <w:p w14:paraId="2BF8E524" w14:textId="77777777" w:rsidR="00BA6736" w:rsidRDefault="00053609" w:rsidP="001E086C">
            <w:pPr>
              <w:jc w:val="both"/>
              <w:cnfStyle w:val="000000100000" w:firstRow="0" w:lastRow="0" w:firstColumn="0" w:lastColumn="0" w:oddVBand="0" w:evenVBand="0" w:oddHBand="1" w:evenHBand="0" w:firstRowFirstColumn="0" w:firstRowLastColumn="0" w:lastRowFirstColumn="0" w:lastRowLastColumn="0"/>
            </w:pPr>
            <w:r>
              <w:t>42.865</w:t>
            </w:r>
          </w:p>
        </w:tc>
      </w:tr>
    </w:tbl>
    <w:p w14:paraId="47492DCE" w14:textId="7B243B8F" w:rsidR="00C41014" w:rsidRDefault="00C41014" w:rsidP="001E086C">
      <w:pPr>
        <w:pStyle w:val="Heading2"/>
        <w:jc w:val="both"/>
      </w:pPr>
      <w:r w:rsidRPr="00C41014">
        <w:rPr>
          <w:noProof/>
        </w:rPr>
        <w:drawing>
          <wp:inline distT="0" distB="0" distL="0" distR="0" wp14:anchorId="380DD8BB" wp14:editId="788DCA7F">
            <wp:extent cx="5486400" cy="4240530"/>
            <wp:effectExtent l="0" t="0" r="0" b="7620"/>
            <wp:docPr id="21134060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406021" name=""/>
                    <pic:cNvPicPr/>
                  </pic:nvPicPr>
                  <pic:blipFill>
                    <a:blip r:embed="rId7"/>
                    <a:stretch>
                      <a:fillRect/>
                    </a:stretch>
                  </pic:blipFill>
                  <pic:spPr>
                    <a:xfrm>
                      <a:off x="0" y="0"/>
                      <a:ext cx="5486400" cy="4240530"/>
                    </a:xfrm>
                    <a:prstGeom prst="rect">
                      <a:avLst/>
                    </a:prstGeom>
                  </pic:spPr>
                </pic:pic>
              </a:graphicData>
            </a:graphic>
          </wp:inline>
        </w:drawing>
      </w:r>
    </w:p>
    <w:p w14:paraId="41250BBA" w14:textId="77777777" w:rsidR="0016783A" w:rsidRDefault="0016783A" w:rsidP="001E086C">
      <w:pPr>
        <w:pStyle w:val="Heading2"/>
        <w:jc w:val="both"/>
      </w:pPr>
    </w:p>
    <w:p w14:paraId="51E826E1" w14:textId="77777777" w:rsidR="0016783A" w:rsidRDefault="0016783A" w:rsidP="0016783A"/>
    <w:tbl>
      <w:tblPr>
        <w:tblStyle w:val="TableGrid"/>
        <w:tblW w:w="0" w:type="auto"/>
        <w:tblLook w:val="04A0" w:firstRow="1" w:lastRow="0" w:firstColumn="1" w:lastColumn="0" w:noHBand="0" w:noVBand="1"/>
      </w:tblPr>
      <w:tblGrid>
        <w:gridCol w:w="1438"/>
        <w:gridCol w:w="1438"/>
        <w:gridCol w:w="1438"/>
        <w:gridCol w:w="1438"/>
        <w:gridCol w:w="1439"/>
        <w:gridCol w:w="1439"/>
      </w:tblGrid>
      <w:tr w:rsidR="0016783A" w14:paraId="7B1913A7" w14:textId="77777777" w:rsidTr="0016783A">
        <w:tc>
          <w:tcPr>
            <w:tcW w:w="1438" w:type="dxa"/>
          </w:tcPr>
          <w:p w14:paraId="49C34C4B" w14:textId="77777777" w:rsidR="002B0D23" w:rsidRDefault="002B0D23" w:rsidP="002B0D23">
            <w:pPr>
              <w:rPr>
                <w:b/>
                <w:bCs/>
              </w:rPr>
            </w:pPr>
            <w:r>
              <w:rPr>
                <w:b/>
                <w:bCs/>
              </w:rPr>
              <w:t>Year</w:t>
            </w:r>
          </w:p>
          <w:p w14:paraId="3DD75FE0" w14:textId="77777777" w:rsidR="0016783A" w:rsidRDefault="0016783A" w:rsidP="0016783A"/>
        </w:tc>
        <w:tc>
          <w:tcPr>
            <w:tcW w:w="1438" w:type="dxa"/>
          </w:tcPr>
          <w:p w14:paraId="0A85EA8C" w14:textId="63F5D8F2" w:rsidR="0016783A" w:rsidRPr="004C06EA" w:rsidRDefault="00FD4334" w:rsidP="00FD4334">
            <w:pPr>
              <w:jc w:val="center"/>
              <w:rPr>
                <w:b/>
                <w:bCs/>
              </w:rPr>
            </w:pPr>
            <w:r w:rsidRPr="004C06EA">
              <w:rPr>
                <w:b/>
                <w:bCs/>
              </w:rPr>
              <w:t>Scope 1</w:t>
            </w:r>
          </w:p>
        </w:tc>
        <w:tc>
          <w:tcPr>
            <w:tcW w:w="1438" w:type="dxa"/>
          </w:tcPr>
          <w:p w14:paraId="116A01AF" w14:textId="77777777" w:rsidR="00DF465C" w:rsidRPr="00DF465C" w:rsidRDefault="00DF465C" w:rsidP="00DF465C">
            <w:pPr>
              <w:rPr>
                <w:b/>
                <w:bCs/>
                <w:lang w:val="en-GB"/>
              </w:rPr>
            </w:pPr>
            <w:r w:rsidRPr="00DF465C">
              <w:rPr>
                <w:b/>
                <w:bCs/>
                <w:lang w:val="en-GB"/>
              </w:rPr>
              <w:t>Scope 2</w:t>
            </w:r>
          </w:p>
          <w:p w14:paraId="4E83ABFD" w14:textId="77777777" w:rsidR="0016783A" w:rsidRPr="004C06EA" w:rsidRDefault="0016783A" w:rsidP="0016783A">
            <w:pPr>
              <w:rPr>
                <w:b/>
                <w:bCs/>
              </w:rPr>
            </w:pPr>
          </w:p>
        </w:tc>
        <w:tc>
          <w:tcPr>
            <w:tcW w:w="1438" w:type="dxa"/>
          </w:tcPr>
          <w:p w14:paraId="77B7294F" w14:textId="77777777" w:rsidR="00036EAF" w:rsidRPr="00036EAF" w:rsidRDefault="00036EAF" w:rsidP="00036EAF">
            <w:pPr>
              <w:rPr>
                <w:b/>
                <w:bCs/>
                <w:lang w:val="en-GB"/>
              </w:rPr>
            </w:pPr>
            <w:r w:rsidRPr="00036EAF">
              <w:rPr>
                <w:b/>
                <w:bCs/>
                <w:lang w:val="en-GB"/>
              </w:rPr>
              <w:t>Scope 3</w:t>
            </w:r>
          </w:p>
          <w:p w14:paraId="2C69EC6B" w14:textId="77777777" w:rsidR="0016783A" w:rsidRPr="004C06EA" w:rsidRDefault="0016783A" w:rsidP="0016783A">
            <w:pPr>
              <w:rPr>
                <w:b/>
                <w:bCs/>
              </w:rPr>
            </w:pPr>
          </w:p>
        </w:tc>
        <w:tc>
          <w:tcPr>
            <w:tcW w:w="1439" w:type="dxa"/>
          </w:tcPr>
          <w:p w14:paraId="769F80BC" w14:textId="27D2E5DF" w:rsidR="0016783A" w:rsidRPr="004C06EA" w:rsidRDefault="00DE1B2B" w:rsidP="0016783A">
            <w:pPr>
              <w:rPr>
                <w:b/>
                <w:bCs/>
              </w:rPr>
            </w:pPr>
            <w:r w:rsidRPr="004C06EA">
              <w:rPr>
                <w:b/>
                <w:bCs/>
              </w:rPr>
              <w:t>Total</w:t>
            </w:r>
          </w:p>
        </w:tc>
        <w:tc>
          <w:tcPr>
            <w:tcW w:w="1439"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C06EA" w:rsidRPr="004C06EA" w14:paraId="6EA9906E" w14:textId="77777777">
              <w:trPr>
                <w:tblCellSpacing w:w="15" w:type="dxa"/>
              </w:trPr>
              <w:tc>
                <w:tcPr>
                  <w:tcW w:w="0" w:type="auto"/>
                  <w:vAlign w:val="center"/>
                  <w:hideMark/>
                </w:tcPr>
                <w:p w14:paraId="40AAAC87" w14:textId="77777777" w:rsidR="004C06EA" w:rsidRPr="004C06EA" w:rsidRDefault="004C06EA" w:rsidP="004C06EA">
                  <w:pPr>
                    <w:spacing w:after="0" w:line="240" w:lineRule="auto"/>
                    <w:rPr>
                      <w:lang w:val="en-GB"/>
                    </w:rPr>
                  </w:pPr>
                </w:p>
              </w:tc>
            </w:tr>
          </w:tbl>
          <w:p w14:paraId="7A16C08C" w14:textId="77777777" w:rsidR="004C06EA" w:rsidRPr="004C06EA" w:rsidRDefault="004C06EA" w:rsidP="004C06EA">
            <w:pPr>
              <w:rPr>
                <w:vanish/>
                <w:lang w:val="en-GB"/>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23"/>
            </w:tblGrid>
            <w:tr w:rsidR="004C06EA" w:rsidRPr="004C06EA" w14:paraId="6729BEDF" w14:textId="77777777">
              <w:trPr>
                <w:tblCellSpacing w:w="15" w:type="dxa"/>
              </w:trPr>
              <w:tc>
                <w:tcPr>
                  <w:tcW w:w="0" w:type="auto"/>
                  <w:vAlign w:val="center"/>
                  <w:hideMark/>
                </w:tcPr>
                <w:p w14:paraId="55E5ACF9" w14:textId="77777777" w:rsidR="004C06EA" w:rsidRPr="004C06EA" w:rsidRDefault="004C06EA" w:rsidP="004C06EA">
                  <w:pPr>
                    <w:spacing w:after="0" w:line="240" w:lineRule="auto"/>
                    <w:rPr>
                      <w:b/>
                      <w:bCs/>
                      <w:lang w:val="en-GB"/>
                    </w:rPr>
                  </w:pPr>
                  <w:r w:rsidRPr="004C06EA">
                    <w:rPr>
                      <w:b/>
                      <w:bCs/>
                      <w:lang w:val="en-GB"/>
                    </w:rPr>
                    <w:t>% Reduction vs. Baseline</w:t>
                  </w:r>
                </w:p>
              </w:tc>
            </w:tr>
          </w:tbl>
          <w:p w14:paraId="601AB185" w14:textId="77777777" w:rsidR="0016783A" w:rsidRDefault="0016783A" w:rsidP="0016783A"/>
        </w:tc>
      </w:tr>
      <w:tr w:rsidR="0016783A" w14:paraId="66B1E571" w14:textId="77777777" w:rsidTr="0016783A">
        <w:tc>
          <w:tcPr>
            <w:tcW w:w="1438" w:type="dxa"/>
          </w:tcPr>
          <w:p w14:paraId="0C13F3CB" w14:textId="5C4619F7" w:rsidR="0016783A" w:rsidRPr="004C06EA" w:rsidRDefault="002B0D23" w:rsidP="0016783A">
            <w:pPr>
              <w:rPr>
                <w:b/>
                <w:bCs/>
              </w:rPr>
            </w:pPr>
            <w:r w:rsidRPr="004C06EA">
              <w:rPr>
                <w:b/>
                <w:bCs/>
              </w:rPr>
              <w:t>2010 (Baseline)</w:t>
            </w:r>
          </w:p>
        </w:tc>
        <w:tc>
          <w:tcPr>
            <w:tcW w:w="1438" w:type="dxa"/>
          </w:tcPr>
          <w:p w14:paraId="747C6B9D" w14:textId="59E2F2C4" w:rsidR="0016783A" w:rsidRDefault="00FD4334" w:rsidP="0016783A">
            <w:r w:rsidRPr="00FD4334">
              <w:t>8.21</w:t>
            </w:r>
          </w:p>
        </w:tc>
        <w:tc>
          <w:tcPr>
            <w:tcW w:w="1438" w:type="dxa"/>
          </w:tcPr>
          <w:p w14:paraId="19A506CA" w14:textId="77777777" w:rsidR="00890BCA" w:rsidRPr="00890BCA" w:rsidRDefault="00890BCA" w:rsidP="00890BCA">
            <w:pPr>
              <w:rPr>
                <w:lang w:val="en-GB"/>
              </w:rPr>
            </w:pPr>
            <w:r w:rsidRPr="00890BCA">
              <w:rPr>
                <w:lang w:val="en-GB"/>
              </w:rPr>
              <w:t>20.543</w:t>
            </w:r>
          </w:p>
          <w:p w14:paraId="64396111" w14:textId="77777777" w:rsidR="0016783A" w:rsidRDefault="0016783A" w:rsidP="0016783A"/>
        </w:tc>
        <w:tc>
          <w:tcPr>
            <w:tcW w:w="1438" w:type="dxa"/>
          </w:tcPr>
          <w:p w14:paraId="6A383A96" w14:textId="77777777" w:rsidR="00036EAF" w:rsidRPr="00036EAF" w:rsidRDefault="00036EAF" w:rsidP="00036EAF">
            <w:pPr>
              <w:rPr>
                <w:lang w:val="en-GB"/>
              </w:rPr>
            </w:pPr>
            <w:r w:rsidRPr="00036EAF">
              <w:rPr>
                <w:lang w:val="en-GB"/>
              </w:rPr>
              <w:t>75.17</w:t>
            </w:r>
          </w:p>
          <w:p w14:paraId="084DACE9" w14:textId="77777777" w:rsidR="0016783A" w:rsidRDefault="0016783A" w:rsidP="0016783A"/>
        </w:tc>
        <w:tc>
          <w:tcPr>
            <w:tcW w:w="1439" w:type="dxa"/>
          </w:tcPr>
          <w:p w14:paraId="26EF110E" w14:textId="711BA672" w:rsidR="0016783A" w:rsidRDefault="00DE1B2B" w:rsidP="0016783A">
            <w:r w:rsidRPr="00DE1B2B">
              <w:t>103.923</w:t>
            </w:r>
          </w:p>
        </w:tc>
        <w:tc>
          <w:tcPr>
            <w:tcW w:w="1439" w:type="dxa"/>
          </w:tcPr>
          <w:p w14:paraId="3C6E1895" w14:textId="46572A6C" w:rsidR="0016783A" w:rsidRDefault="004C06EA" w:rsidP="0016783A">
            <w:r w:rsidRPr="004C06EA">
              <w:t>—</w:t>
            </w:r>
          </w:p>
        </w:tc>
      </w:tr>
      <w:tr w:rsidR="0016783A" w14:paraId="5311D849" w14:textId="77777777" w:rsidTr="0016783A">
        <w:tc>
          <w:tcPr>
            <w:tcW w:w="1438" w:type="dxa"/>
          </w:tcPr>
          <w:p w14:paraId="51BC0DAC" w14:textId="6ACFB6A8" w:rsidR="0016783A" w:rsidRPr="004C06EA" w:rsidRDefault="002B0D23" w:rsidP="0016783A">
            <w:pPr>
              <w:rPr>
                <w:b/>
                <w:bCs/>
              </w:rPr>
            </w:pPr>
            <w:r w:rsidRPr="004C06EA">
              <w:rPr>
                <w:b/>
                <w:bCs/>
              </w:rPr>
              <w:t>2025 (Current)</w:t>
            </w:r>
          </w:p>
        </w:tc>
        <w:tc>
          <w:tcPr>
            <w:tcW w:w="1438" w:type="dxa"/>
          </w:tcPr>
          <w:p w14:paraId="36654F5C" w14:textId="4BAE20AA" w:rsidR="0016783A" w:rsidRDefault="00FD4334" w:rsidP="0016783A">
            <w:r w:rsidRPr="00FD4334">
              <w:t>4.62</w:t>
            </w:r>
          </w:p>
        </w:tc>
        <w:tc>
          <w:tcPr>
            <w:tcW w:w="1438" w:type="dxa"/>
          </w:tcPr>
          <w:p w14:paraId="1439C2CD" w14:textId="77777777" w:rsidR="00890BCA" w:rsidRPr="00890BCA" w:rsidRDefault="00890BCA" w:rsidP="00890BCA">
            <w:pPr>
              <w:rPr>
                <w:lang w:val="en-GB"/>
              </w:rPr>
            </w:pPr>
            <w:r w:rsidRPr="00890BCA">
              <w:rPr>
                <w:lang w:val="en-GB"/>
              </w:rPr>
              <w:t>12.565</w:t>
            </w:r>
          </w:p>
          <w:p w14:paraId="67A24806" w14:textId="77777777" w:rsidR="0016783A" w:rsidRDefault="0016783A" w:rsidP="0016783A"/>
        </w:tc>
        <w:tc>
          <w:tcPr>
            <w:tcW w:w="1438" w:type="dxa"/>
          </w:tcPr>
          <w:p w14:paraId="64E6E2C3" w14:textId="77777777" w:rsidR="00036EAF" w:rsidRPr="00036EAF" w:rsidRDefault="00036EAF" w:rsidP="00036EAF">
            <w:pPr>
              <w:rPr>
                <w:lang w:val="en-GB"/>
              </w:rPr>
            </w:pPr>
            <w:r w:rsidRPr="00036EAF">
              <w:rPr>
                <w:lang w:val="en-GB"/>
              </w:rPr>
              <w:t>25.68</w:t>
            </w:r>
          </w:p>
          <w:p w14:paraId="57B1F295" w14:textId="77777777" w:rsidR="0016783A" w:rsidRDefault="0016783A" w:rsidP="0016783A"/>
        </w:tc>
        <w:tc>
          <w:tcPr>
            <w:tcW w:w="1439" w:type="dxa"/>
          </w:tcPr>
          <w:p w14:paraId="60B42740" w14:textId="180DF1E2" w:rsidR="0016783A" w:rsidRDefault="00DE1B2B" w:rsidP="0016783A">
            <w:r w:rsidRPr="00DE1B2B">
              <w:t>42.865</w:t>
            </w:r>
          </w:p>
        </w:tc>
        <w:tc>
          <w:tcPr>
            <w:tcW w:w="1439" w:type="dxa"/>
          </w:tcPr>
          <w:p w14:paraId="7A52BC61" w14:textId="35F37542" w:rsidR="0016783A" w:rsidRDefault="004C06EA" w:rsidP="0016783A">
            <w:r w:rsidRPr="004C06EA">
              <w:t>59%</w:t>
            </w:r>
          </w:p>
        </w:tc>
      </w:tr>
      <w:tr w:rsidR="0016783A" w14:paraId="1C2CF9E9" w14:textId="77777777" w:rsidTr="0016783A">
        <w:tc>
          <w:tcPr>
            <w:tcW w:w="1438" w:type="dxa"/>
          </w:tcPr>
          <w:p w14:paraId="6EA35CE1" w14:textId="5DF0C9C0" w:rsidR="0016783A" w:rsidRPr="004C06EA" w:rsidRDefault="00225943" w:rsidP="0016783A">
            <w:pPr>
              <w:rPr>
                <w:b/>
                <w:bCs/>
              </w:rPr>
            </w:pPr>
            <w:r w:rsidRPr="004C06EA">
              <w:rPr>
                <w:b/>
                <w:bCs/>
              </w:rPr>
              <w:t>2035 (Target)</w:t>
            </w:r>
          </w:p>
        </w:tc>
        <w:tc>
          <w:tcPr>
            <w:tcW w:w="1438" w:type="dxa"/>
          </w:tcPr>
          <w:p w14:paraId="0C2F2751" w14:textId="32D97D8C" w:rsidR="0016783A" w:rsidRDefault="00FD4334" w:rsidP="0016783A">
            <w:r w:rsidRPr="00FD4334">
              <w:t>3.5</w:t>
            </w:r>
          </w:p>
        </w:tc>
        <w:tc>
          <w:tcPr>
            <w:tcW w:w="1438" w:type="dxa"/>
          </w:tcPr>
          <w:p w14:paraId="3AC7B277" w14:textId="77777777" w:rsidR="00890BCA" w:rsidRPr="00890BCA" w:rsidRDefault="00890BCA" w:rsidP="00890BCA">
            <w:pPr>
              <w:rPr>
                <w:lang w:val="en-GB"/>
              </w:rPr>
            </w:pPr>
            <w:r w:rsidRPr="00890BCA">
              <w:rPr>
                <w:lang w:val="en-GB"/>
              </w:rPr>
              <w:t>9.4</w:t>
            </w:r>
          </w:p>
          <w:p w14:paraId="08040068" w14:textId="77777777" w:rsidR="0016783A" w:rsidRDefault="0016783A" w:rsidP="0016783A"/>
        </w:tc>
        <w:tc>
          <w:tcPr>
            <w:tcW w:w="1438" w:type="dxa"/>
          </w:tcPr>
          <w:p w14:paraId="69F31B1E" w14:textId="77777777" w:rsidR="00F8454A" w:rsidRPr="00F8454A" w:rsidRDefault="00F8454A" w:rsidP="00F8454A">
            <w:pPr>
              <w:rPr>
                <w:lang w:val="en-GB"/>
              </w:rPr>
            </w:pPr>
            <w:r w:rsidRPr="00F8454A">
              <w:rPr>
                <w:lang w:val="en-GB"/>
              </w:rPr>
              <w:t>19.3</w:t>
            </w:r>
          </w:p>
          <w:p w14:paraId="1C904F2E" w14:textId="77777777" w:rsidR="0016783A" w:rsidRDefault="0016783A" w:rsidP="0016783A"/>
        </w:tc>
        <w:tc>
          <w:tcPr>
            <w:tcW w:w="1439" w:type="dxa"/>
          </w:tcPr>
          <w:p w14:paraId="673A506E" w14:textId="63DC6A21" w:rsidR="0016783A" w:rsidRDefault="00DE1B2B" w:rsidP="0016783A">
            <w:r w:rsidRPr="00DE1B2B">
              <w:t>32.2</w:t>
            </w:r>
          </w:p>
        </w:tc>
        <w:tc>
          <w:tcPr>
            <w:tcW w:w="1439" w:type="dxa"/>
          </w:tcPr>
          <w:p w14:paraId="432C790F" w14:textId="469B1806" w:rsidR="0016783A" w:rsidRDefault="004C06EA" w:rsidP="0016783A">
            <w:r w:rsidRPr="004C06EA">
              <w:t>69%</w:t>
            </w:r>
          </w:p>
        </w:tc>
      </w:tr>
      <w:tr w:rsidR="0016783A" w14:paraId="4F637464" w14:textId="77777777" w:rsidTr="0016783A">
        <w:tc>
          <w:tcPr>
            <w:tcW w:w="1438" w:type="dxa"/>
          </w:tcPr>
          <w:p w14:paraId="047C21BC" w14:textId="29B7B2C0" w:rsidR="0016783A" w:rsidRPr="004C06EA" w:rsidRDefault="00225943" w:rsidP="0016783A">
            <w:pPr>
              <w:rPr>
                <w:b/>
                <w:bCs/>
              </w:rPr>
            </w:pPr>
            <w:r w:rsidRPr="004C06EA">
              <w:rPr>
                <w:b/>
                <w:bCs/>
              </w:rPr>
              <w:t>2050 (Net Zero Goal)</w:t>
            </w:r>
          </w:p>
        </w:tc>
        <w:tc>
          <w:tcPr>
            <w:tcW w:w="1438" w:type="dxa"/>
          </w:tcPr>
          <w:p w14:paraId="2926E4B7" w14:textId="2DF0312B" w:rsidR="0016783A" w:rsidRDefault="00FD4334" w:rsidP="0016783A">
            <w:r w:rsidRPr="00FD4334">
              <w:t>0</w:t>
            </w:r>
          </w:p>
        </w:tc>
        <w:tc>
          <w:tcPr>
            <w:tcW w:w="1438" w:type="dxa"/>
          </w:tcPr>
          <w:p w14:paraId="28873B06" w14:textId="77777777" w:rsidR="00890BCA" w:rsidRPr="00890BCA" w:rsidRDefault="00890BCA" w:rsidP="00890BCA">
            <w:pPr>
              <w:rPr>
                <w:lang w:val="en-GB"/>
              </w:rPr>
            </w:pPr>
            <w:r w:rsidRPr="00890BCA">
              <w:rPr>
                <w:lang w:val="en-GB"/>
              </w:rPr>
              <w:t>0</w:t>
            </w:r>
          </w:p>
          <w:p w14:paraId="54211BE4" w14:textId="77777777" w:rsidR="0016783A" w:rsidRDefault="0016783A" w:rsidP="0016783A"/>
        </w:tc>
        <w:tc>
          <w:tcPr>
            <w:tcW w:w="1438" w:type="dxa"/>
          </w:tcPr>
          <w:p w14:paraId="1537EABF" w14:textId="5B693852" w:rsidR="0016783A" w:rsidRDefault="00F8454A" w:rsidP="0016783A">
            <w:r>
              <w:t>0</w:t>
            </w:r>
          </w:p>
        </w:tc>
        <w:tc>
          <w:tcPr>
            <w:tcW w:w="1439" w:type="dxa"/>
          </w:tcPr>
          <w:p w14:paraId="1D3570F7" w14:textId="2CB0DCA0" w:rsidR="0016783A" w:rsidRDefault="00DE1B2B" w:rsidP="0016783A">
            <w:r w:rsidRPr="00DE1B2B">
              <w:t>0</w:t>
            </w:r>
          </w:p>
        </w:tc>
        <w:tc>
          <w:tcPr>
            <w:tcW w:w="1439" w:type="dxa"/>
          </w:tcPr>
          <w:p w14:paraId="263B6376" w14:textId="091E9724" w:rsidR="0016783A" w:rsidRDefault="004C06EA" w:rsidP="0016783A">
            <w:r w:rsidRPr="004C06EA">
              <w:t>100%</w:t>
            </w:r>
          </w:p>
        </w:tc>
      </w:tr>
    </w:tbl>
    <w:p w14:paraId="71884AB1" w14:textId="1D73B6BB" w:rsidR="0016783A" w:rsidRPr="0016783A" w:rsidRDefault="0016783A" w:rsidP="0016783A"/>
    <w:p w14:paraId="43629704" w14:textId="1C9FFFCD" w:rsidR="00BA6736" w:rsidRDefault="00053609" w:rsidP="001E086C">
      <w:pPr>
        <w:pStyle w:val="Heading2"/>
        <w:jc w:val="both"/>
      </w:pPr>
      <w:r>
        <w:t>Reporting Boundary Clarification</w:t>
      </w:r>
    </w:p>
    <w:p w14:paraId="38484D3E" w14:textId="2C48F13B" w:rsidR="00BA6736" w:rsidRPr="00412920" w:rsidRDefault="00053609" w:rsidP="001E086C">
      <w:pPr>
        <w:jc w:val="both"/>
        <w:rPr>
          <w:lang w:val="en-GB"/>
        </w:rPr>
      </w:pPr>
      <w:r>
        <w:t xml:space="preserve">Scopes 1 and 2 cover emissions from </w:t>
      </w:r>
      <w:proofErr w:type="spellStart"/>
      <w:r>
        <w:t>Teonfa</w:t>
      </w:r>
      <w:proofErr w:type="spellEnd"/>
      <w:r>
        <w:t xml:space="preserve"> </w:t>
      </w:r>
      <w:proofErr w:type="spellStart"/>
      <w:r>
        <w:t>Ltd’s</w:t>
      </w:r>
      <w:proofErr w:type="spellEnd"/>
      <w:r>
        <w:t xml:space="preserve"> directly operated facilities, including the main office in Luton. Landlord-managed supported accommodation properties are accounted for under Scope 3, as </w:t>
      </w:r>
      <w:proofErr w:type="spellStart"/>
      <w:r>
        <w:t>Teonfa</w:t>
      </w:r>
      <w:proofErr w:type="spellEnd"/>
      <w:r>
        <w:t xml:space="preserve"> Ltd does not directly control their energy supply. This ensures transparent and accurate boundary setting in line with GHG Protocol guidance.</w:t>
      </w:r>
      <w:r w:rsidR="00D83365">
        <w:t xml:space="preserve"> </w:t>
      </w:r>
      <w:r w:rsidR="00D83365" w:rsidRPr="00D83365">
        <w:t xml:space="preserve">This approach ensures that </w:t>
      </w:r>
      <w:proofErr w:type="spellStart"/>
      <w:r w:rsidR="00D83365" w:rsidRPr="00D83365">
        <w:t>Teonfa</w:t>
      </w:r>
      <w:proofErr w:type="spellEnd"/>
      <w:r w:rsidR="00D83365" w:rsidRPr="00D83365">
        <w:t xml:space="preserve"> Ltd accounts for all emissions under its direct control while transparently including relevant upstream and downstream impacts within Scope 3 reporting.</w:t>
      </w:r>
      <w:r w:rsidR="00412920">
        <w:t xml:space="preserve"> </w:t>
      </w:r>
      <w:r w:rsidR="00412920" w:rsidRPr="00412920">
        <w:rPr>
          <w:lang w:val="en-GB"/>
        </w:rPr>
        <w:t xml:space="preserve">Monitoring and Performance Tracking Progress against carbon reduction targets is monitored quarterly through internal energy and emissions audits, supported by an ESG tracking spreadsheet that records consumption, fleet mileage, and waste reduction metrics. Annual results are reviewed by senior management to ensure </w:t>
      </w:r>
      <w:proofErr w:type="spellStart"/>
      <w:r w:rsidR="00412920" w:rsidRPr="00412920">
        <w:rPr>
          <w:lang w:val="en-GB"/>
        </w:rPr>
        <w:t>Teonfa</w:t>
      </w:r>
      <w:proofErr w:type="spellEnd"/>
      <w:r w:rsidR="00412920" w:rsidRPr="00412920">
        <w:rPr>
          <w:lang w:val="en-GB"/>
        </w:rPr>
        <w:t xml:space="preserve"> Ltd remains on track toward Net Zero.</w:t>
      </w:r>
    </w:p>
    <w:p w14:paraId="48C826BA" w14:textId="77777777" w:rsidR="00BA6736" w:rsidRDefault="00053609" w:rsidP="001E086C">
      <w:pPr>
        <w:pStyle w:val="Heading2"/>
        <w:jc w:val="both"/>
      </w:pPr>
      <w:r>
        <w:t>Emissions Reduction Progress and Targets</w:t>
      </w:r>
    </w:p>
    <w:p w14:paraId="2B9F2696" w14:textId="77777777" w:rsidR="00B0762A" w:rsidRDefault="00053609" w:rsidP="00B0762A">
      <w:pPr>
        <w:jc w:val="both"/>
      </w:pPr>
      <w:proofErr w:type="spellStart"/>
      <w:r>
        <w:t>Teonfa</w:t>
      </w:r>
      <w:proofErr w:type="spellEnd"/>
      <w:r>
        <w:t xml:space="preserve"> Ltd has achieved a 59% reduction in total emissions since 2010, primarily through renewable electricity adoption at our main office, energy efficiency measures, and reduced staff travel. Having already exceeded earlier medium-term goals, our new focus is on intensity-based reductions and residual </w:t>
      </w:r>
      <w:proofErr w:type="spellStart"/>
      <w:r>
        <w:t>decarbonisation</w:t>
      </w:r>
      <w:proofErr w:type="spellEnd"/>
      <w:r>
        <w:t xml:space="preserve"> of all Scopes by 2050.</w:t>
      </w:r>
      <w:r w:rsidR="00D83365">
        <w:t xml:space="preserve"> </w:t>
      </w:r>
      <w:r w:rsidR="00D83365" w:rsidRPr="00D83365">
        <w:t>Having already achieved a 59% reduction since our 2010 baseline, these future targets now focus on maintaining existing progress while tackling residual emissions from fuel use, grid-dependent accommodation, and supplier activities.</w:t>
      </w:r>
      <w:r w:rsidR="00B0762A">
        <w:t xml:space="preserve"> </w:t>
      </w:r>
    </w:p>
    <w:p w14:paraId="0F494D17" w14:textId="18C729E6" w:rsidR="00B0762A" w:rsidRPr="00B0762A" w:rsidRDefault="00B0762A" w:rsidP="00B0762A">
      <w:pPr>
        <w:jc w:val="both"/>
        <w:rPr>
          <w:lang w:val="en-GB"/>
        </w:rPr>
      </w:pPr>
      <w:r w:rsidRPr="00B0762A">
        <w:rPr>
          <w:lang w:val="en-GB"/>
        </w:rPr>
        <w:t xml:space="preserve">Having already exceeded earlier medium-term goals, our new focus is on measurable, intensity-based reductions and residual decarbonisation of all Scopes by 2050. We aim to reduce Scope 1 and 2 emissions by 10% (equivalent to approximately 4.3 </w:t>
      </w:r>
      <w:proofErr w:type="spellStart"/>
      <w:r w:rsidRPr="00B0762A">
        <w:rPr>
          <w:lang w:val="en-GB"/>
        </w:rPr>
        <w:t>tCO₂e</w:t>
      </w:r>
      <w:proofErr w:type="spellEnd"/>
      <w:r w:rsidRPr="00B0762A">
        <w:rPr>
          <w:lang w:val="en-GB"/>
        </w:rPr>
        <w:t xml:space="preserve">) by 2027 and by 25% (approximately 10.7 </w:t>
      </w:r>
      <w:proofErr w:type="spellStart"/>
      <w:r w:rsidRPr="00B0762A">
        <w:rPr>
          <w:lang w:val="en-GB"/>
        </w:rPr>
        <w:t>tCO₂e</w:t>
      </w:r>
      <w:proofErr w:type="spellEnd"/>
      <w:r w:rsidRPr="00B0762A">
        <w:rPr>
          <w:lang w:val="en-GB"/>
        </w:rPr>
        <w:t>) by 2035, using 2025 emissions as the baseline for tracking.</w:t>
      </w:r>
    </w:p>
    <w:p w14:paraId="5738A29B" w14:textId="0A1F1731" w:rsidR="00C41014" w:rsidRDefault="00C41014" w:rsidP="001E086C">
      <w:pPr>
        <w:jc w:val="both"/>
      </w:pPr>
    </w:p>
    <w:p w14:paraId="4D9605CD" w14:textId="77777777" w:rsidR="00C41014" w:rsidRDefault="00053609" w:rsidP="001E086C">
      <w:pPr>
        <w:pStyle w:val="ListParagraph"/>
        <w:numPr>
          <w:ilvl w:val="0"/>
          <w:numId w:val="10"/>
        </w:numPr>
        <w:jc w:val="both"/>
      </w:pPr>
      <w:r>
        <w:t>Short-term (by 2027): Maintain reductions and achieve a further 10% decrease in total emissions intensity.</w:t>
      </w:r>
    </w:p>
    <w:p w14:paraId="6FDE5AEA" w14:textId="77777777" w:rsidR="00C41014" w:rsidRDefault="00053609" w:rsidP="001E086C">
      <w:pPr>
        <w:pStyle w:val="ListParagraph"/>
        <w:numPr>
          <w:ilvl w:val="0"/>
          <w:numId w:val="10"/>
        </w:numPr>
        <w:jc w:val="both"/>
      </w:pPr>
      <w:r>
        <w:t>Medium-term (by 2035): Achieve a 25% reduction in remaining Scope 1 and Scope 2 emissions.</w:t>
      </w:r>
    </w:p>
    <w:p w14:paraId="4A65F83A" w14:textId="31464553" w:rsidR="00BA6736" w:rsidRDefault="00053609" w:rsidP="001E086C">
      <w:pPr>
        <w:pStyle w:val="ListParagraph"/>
        <w:numPr>
          <w:ilvl w:val="0"/>
          <w:numId w:val="10"/>
        </w:numPr>
        <w:jc w:val="both"/>
      </w:pPr>
      <w:r>
        <w:t>Long-term (by 2050): Achieve full Net Zero across all operational and supply chain emissions.</w:t>
      </w:r>
    </w:p>
    <w:p w14:paraId="44F09FC3" w14:textId="77777777" w:rsidR="00BA6736" w:rsidRDefault="00053609" w:rsidP="001E086C">
      <w:pPr>
        <w:pStyle w:val="Heading2"/>
        <w:jc w:val="both"/>
      </w:pPr>
      <w:r>
        <w:t>Completed Carbon Reduction Initiatives</w:t>
      </w:r>
    </w:p>
    <w:p w14:paraId="2B5BB2B1" w14:textId="77777777" w:rsidR="00C41014" w:rsidRDefault="00053609" w:rsidP="001E086C">
      <w:pPr>
        <w:pStyle w:val="ListParagraph"/>
        <w:numPr>
          <w:ilvl w:val="0"/>
          <w:numId w:val="11"/>
        </w:numPr>
        <w:jc w:val="both"/>
      </w:pPr>
      <w:r>
        <w:t>Installed solar panels at the main office, now generating approximately 30% of its electricity.</w:t>
      </w:r>
    </w:p>
    <w:p w14:paraId="08DA9014" w14:textId="6F44F2DF" w:rsidR="00C41014" w:rsidRDefault="00053609" w:rsidP="001E086C">
      <w:pPr>
        <w:pStyle w:val="ListParagraph"/>
        <w:numPr>
          <w:ilvl w:val="0"/>
          <w:numId w:val="11"/>
        </w:numPr>
        <w:jc w:val="both"/>
      </w:pPr>
      <w:r>
        <w:t>Secured 100% renewable electricity for the main office through a green energy contract (REGO-certified).</w:t>
      </w:r>
      <w:r w:rsidR="00D83365">
        <w:t xml:space="preserve"> </w:t>
      </w:r>
      <w:r w:rsidR="00D83365" w:rsidRPr="00D83365">
        <w:t xml:space="preserve">This renewable supply currently applies to our main office. </w:t>
      </w:r>
      <w:r w:rsidR="00D83365" w:rsidRPr="00D83365">
        <w:lastRenderedPageBreak/>
        <w:t>Supported accommodation sites managed by landlords remain on conventional grid supply, which contributes to residual Scope 2 emissions.</w:t>
      </w:r>
    </w:p>
    <w:p w14:paraId="21D6F9D4" w14:textId="77777777" w:rsidR="00C41014" w:rsidRDefault="00053609" w:rsidP="001E086C">
      <w:pPr>
        <w:pStyle w:val="ListParagraph"/>
        <w:numPr>
          <w:ilvl w:val="0"/>
          <w:numId w:val="11"/>
        </w:numPr>
        <w:jc w:val="both"/>
      </w:pPr>
      <w:r>
        <w:t>Upgraded all lighting to energy-efficient LED systems, achieving around 20% energy reduction.</w:t>
      </w:r>
    </w:p>
    <w:p w14:paraId="0338A87C" w14:textId="77777777" w:rsidR="00C41014" w:rsidRDefault="00053609" w:rsidP="001E086C">
      <w:pPr>
        <w:pStyle w:val="ListParagraph"/>
        <w:numPr>
          <w:ilvl w:val="0"/>
          <w:numId w:val="11"/>
        </w:numPr>
        <w:jc w:val="both"/>
      </w:pPr>
      <w:r>
        <w:t>Implemented smart controls for heating and lighting, cutting waste by approximately 15%.</w:t>
      </w:r>
    </w:p>
    <w:p w14:paraId="197E409F" w14:textId="77777777" w:rsidR="00C41014" w:rsidRDefault="00053609" w:rsidP="001E086C">
      <w:pPr>
        <w:pStyle w:val="ListParagraph"/>
        <w:numPr>
          <w:ilvl w:val="0"/>
          <w:numId w:val="11"/>
        </w:numPr>
        <w:jc w:val="both"/>
      </w:pPr>
      <w:r>
        <w:t>Introduced comprehensive recycling schemes, reducing landfill waste by over 40%.</w:t>
      </w:r>
    </w:p>
    <w:p w14:paraId="5F1D39B5" w14:textId="77777777" w:rsidR="00C41014" w:rsidRDefault="00053609" w:rsidP="001E086C">
      <w:pPr>
        <w:pStyle w:val="ListParagraph"/>
        <w:numPr>
          <w:ilvl w:val="0"/>
          <w:numId w:val="11"/>
        </w:numPr>
        <w:jc w:val="both"/>
      </w:pPr>
      <w:r>
        <w:t xml:space="preserve">Launched a staff sustainability awareness </w:t>
      </w:r>
      <w:proofErr w:type="spellStart"/>
      <w:r>
        <w:t>programme</w:t>
      </w:r>
      <w:proofErr w:type="spellEnd"/>
      <w:r>
        <w:t>, promoting low-carbon commuting, car-sharing, and ‘cycle-to-work’ participation.</w:t>
      </w:r>
    </w:p>
    <w:p w14:paraId="5E2DDBBF" w14:textId="7F78FA09" w:rsidR="00BA6736" w:rsidRDefault="00053609" w:rsidP="001E086C">
      <w:pPr>
        <w:pStyle w:val="ListParagraph"/>
        <w:numPr>
          <w:ilvl w:val="0"/>
          <w:numId w:val="11"/>
        </w:numPr>
        <w:jc w:val="both"/>
      </w:pPr>
      <w:r>
        <w:t xml:space="preserve">Updated procurement policies to </w:t>
      </w:r>
      <w:proofErr w:type="spellStart"/>
      <w:r>
        <w:t>prioritise</w:t>
      </w:r>
      <w:proofErr w:type="spellEnd"/>
      <w:r>
        <w:t xml:space="preserve"> environmentally responsible and sustainable suppliers.</w:t>
      </w:r>
    </w:p>
    <w:p w14:paraId="20541B69" w14:textId="77777777" w:rsidR="00BA6736" w:rsidRDefault="00053609" w:rsidP="001E086C">
      <w:pPr>
        <w:pStyle w:val="Heading2"/>
        <w:jc w:val="both"/>
      </w:pPr>
      <w:r>
        <w:t>Ongoing and Planned Carbon Reduction Projects</w:t>
      </w:r>
    </w:p>
    <w:p w14:paraId="3975E994" w14:textId="77777777" w:rsidR="00C41014" w:rsidRDefault="00053609" w:rsidP="001E086C">
      <w:pPr>
        <w:pStyle w:val="ListParagraph"/>
        <w:numPr>
          <w:ilvl w:val="0"/>
          <w:numId w:val="12"/>
        </w:numPr>
        <w:jc w:val="both"/>
      </w:pPr>
      <w:r>
        <w:t>Deploying an advanced energy management system to enable real-time energy monitoring.</w:t>
      </w:r>
    </w:p>
    <w:p w14:paraId="3837F42A" w14:textId="77777777" w:rsidR="00C41014" w:rsidRDefault="00053609" w:rsidP="001E086C">
      <w:pPr>
        <w:pStyle w:val="ListParagraph"/>
        <w:numPr>
          <w:ilvl w:val="0"/>
          <w:numId w:val="12"/>
        </w:numPr>
        <w:jc w:val="both"/>
      </w:pPr>
      <w:r>
        <w:t>Collaborating with landlords to improve insulation, windows, and heating efficiency at supported accommodation sites.</w:t>
      </w:r>
    </w:p>
    <w:p w14:paraId="68CEAFBF" w14:textId="77777777" w:rsidR="00C41014" w:rsidRDefault="00053609" w:rsidP="001E086C">
      <w:pPr>
        <w:pStyle w:val="ListParagraph"/>
        <w:numPr>
          <w:ilvl w:val="0"/>
          <w:numId w:val="12"/>
        </w:numPr>
        <w:jc w:val="both"/>
      </w:pPr>
      <w:r>
        <w:t xml:space="preserve">Developing a supplier engagement </w:t>
      </w:r>
      <w:proofErr w:type="spellStart"/>
      <w:r>
        <w:t>programme</w:t>
      </w:r>
      <w:proofErr w:type="spellEnd"/>
      <w:r>
        <w:t xml:space="preserve"> focused on reducing Scope 3 emissions.</w:t>
      </w:r>
    </w:p>
    <w:p w14:paraId="285DBCA7" w14:textId="77777777" w:rsidR="00D83365" w:rsidRDefault="00053609" w:rsidP="001E086C">
      <w:pPr>
        <w:pStyle w:val="ListParagraph"/>
        <w:numPr>
          <w:ilvl w:val="0"/>
          <w:numId w:val="12"/>
        </w:numPr>
        <w:jc w:val="both"/>
      </w:pPr>
      <w:r>
        <w:t>Expanding hybrid and electric vehicle use within the company fleet, with charging points installed at premises.</w:t>
      </w:r>
      <w:r w:rsidR="00D83365">
        <w:t xml:space="preserve"> </w:t>
      </w:r>
    </w:p>
    <w:p w14:paraId="5154BE71" w14:textId="731283F8" w:rsidR="00C41014" w:rsidRDefault="00D83365" w:rsidP="001E086C">
      <w:pPr>
        <w:pStyle w:val="ListParagraph"/>
        <w:numPr>
          <w:ilvl w:val="0"/>
          <w:numId w:val="12"/>
        </w:numPr>
        <w:jc w:val="both"/>
      </w:pPr>
      <w:r w:rsidRPr="00D83365">
        <w:t xml:space="preserve">The reduction in Scope 3 emissions achieved to date has primarily resulted from reduced travel frequency, digital systems for care management, and staff hybrid working. The full impact of fleet electrification will be </w:t>
      </w:r>
      <w:proofErr w:type="spellStart"/>
      <w:r w:rsidRPr="00D83365">
        <w:t>realised</w:t>
      </w:r>
      <w:proofErr w:type="spellEnd"/>
      <w:r w:rsidRPr="00D83365">
        <w:t xml:space="preserve"> as new vehicles are introduced from 2026 onward.</w:t>
      </w:r>
    </w:p>
    <w:p w14:paraId="4EF1B546" w14:textId="77777777" w:rsidR="00C41014" w:rsidRDefault="00053609" w:rsidP="001E086C">
      <w:pPr>
        <w:pStyle w:val="ListParagraph"/>
        <w:numPr>
          <w:ilvl w:val="0"/>
          <w:numId w:val="12"/>
        </w:numPr>
        <w:jc w:val="both"/>
      </w:pPr>
      <w:r>
        <w:t>Exploring small-scale on-site renewable generation and certified carbon offset projects.</w:t>
      </w:r>
    </w:p>
    <w:p w14:paraId="6EF3D4DB" w14:textId="04959E19" w:rsidR="00F638F5" w:rsidRDefault="00F638F5" w:rsidP="001E086C">
      <w:pPr>
        <w:pStyle w:val="ListParagraph"/>
        <w:numPr>
          <w:ilvl w:val="0"/>
          <w:numId w:val="12"/>
        </w:numPr>
        <w:jc w:val="both"/>
      </w:pPr>
      <w:r w:rsidRPr="00F638F5">
        <w:t xml:space="preserve">Implementing a </w:t>
      </w:r>
      <w:r w:rsidRPr="00F638F5">
        <w:rPr>
          <w:b/>
          <w:bCs/>
        </w:rPr>
        <w:t>carbon offset strategy</w:t>
      </w:r>
      <w:r w:rsidRPr="00F638F5">
        <w:t xml:space="preserve"> focused on </w:t>
      </w:r>
      <w:r w:rsidRPr="00F638F5">
        <w:rPr>
          <w:b/>
          <w:bCs/>
        </w:rPr>
        <w:t>UK-based woodland creation and internationally verified carbon standard (VCS) projects</w:t>
      </w:r>
      <w:r w:rsidRPr="00F638F5">
        <w:t xml:space="preserve">, ensuring all offsets are certified and transparently reported as part of </w:t>
      </w:r>
      <w:proofErr w:type="spellStart"/>
      <w:r w:rsidRPr="00F638F5">
        <w:t>Teonfa</w:t>
      </w:r>
      <w:proofErr w:type="spellEnd"/>
      <w:r w:rsidRPr="00F638F5">
        <w:t xml:space="preserve"> </w:t>
      </w:r>
      <w:proofErr w:type="spellStart"/>
      <w:r w:rsidRPr="00F638F5">
        <w:t>Ltd’s</w:t>
      </w:r>
      <w:proofErr w:type="spellEnd"/>
      <w:r w:rsidRPr="00F638F5">
        <w:t xml:space="preserve"> Net Zero journey.</w:t>
      </w:r>
    </w:p>
    <w:p w14:paraId="6DE81FD6" w14:textId="77777777" w:rsidR="00C41014" w:rsidRDefault="00053609" w:rsidP="001E086C">
      <w:pPr>
        <w:pStyle w:val="ListParagraph"/>
        <w:numPr>
          <w:ilvl w:val="0"/>
          <w:numId w:val="12"/>
        </w:numPr>
        <w:jc w:val="both"/>
      </w:pPr>
      <w:r>
        <w:t>Promoting digital administration and hybrid working to reduce commuting emissions.</w:t>
      </w:r>
    </w:p>
    <w:p w14:paraId="3B9BAC72" w14:textId="77777777" w:rsidR="00C41014" w:rsidRDefault="00053609" w:rsidP="001E086C">
      <w:pPr>
        <w:pStyle w:val="ListParagraph"/>
        <w:numPr>
          <w:ilvl w:val="0"/>
          <w:numId w:val="12"/>
        </w:numPr>
        <w:jc w:val="both"/>
      </w:pPr>
      <w:r>
        <w:t xml:space="preserve">Introducing green IT policies, including </w:t>
      </w:r>
      <w:proofErr w:type="spellStart"/>
      <w:r>
        <w:t>virtualisation</w:t>
      </w:r>
      <w:proofErr w:type="spellEnd"/>
      <w:r>
        <w:t xml:space="preserve"> and responsible e-waste disposal.</w:t>
      </w:r>
    </w:p>
    <w:p w14:paraId="55AC49A2" w14:textId="37971F61" w:rsidR="00BA6736" w:rsidRDefault="00053609" w:rsidP="001E086C">
      <w:pPr>
        <w:pStyle w:val="ListParagraph"/>
        <w:numPr>
          <w:ilvl w:val="0"/>
          <w:numId w:val="12"/>
        </w:numPr>
        <w:jc w:val="both"/>
      </w:pPr>
      <w:r>
        <w:t xml:space="preserve">Launching a ‘Green Champions’ staff network to encourage sustainability innovation across the </w:t>
      </w:r>
      <w:proofErr w:type="spellStart"/>
      <w:r>
        <w:t>organisation</w:t>
      </w:r>
      <w:proofErr w:type="spellEnd"/>
      <w:r>
        <w:t>.</w:t>
      </w:r>
    </w:p>
    <w:p w14:paraId="4D91B86C" w14:textId="77777777" w:rsidR="00BA6736" w:rsidRDefault="00053609" w:rsidP="001E086C">
      <w:pPr>
        <w:pStyle w:val="Heading2"/>
        <w:jc w:val="both"/>
      </w:pPr>
      <w:r>
        <w:t>Declaration and Sign-Off</w:t>
      </w:r>
    </w:p>
    <w:p w14:paraId="6A5CE8A4" w14:textId="77777777" w:rsidR="00BA6736" w:rsidRDefault="00053609" w:rsidP="001E086C">
      <w:pPr>
        <w:jc w:val="both"/>
      </w:pPr>
      <w:r>
        <w:t xml:space="preserve">This Carbon Reduction Plan has been prepared in accordance with PPN 06/21 and its associated guidance, using the GHG Reporting Protocol and aligned with NHS sustainability expectations. It reflects </w:t>
      </w:r>
      <w:proofErr w:type="spellStart"/>
      <w:r>
        <w:t>Teonfa</w:t>
      </w:r>
      <w:proofErr w:type="spellEnd"/>
      <w:r>
        <w:t xml:space="preserve"> </w:t>
      </w:r>
      <w:proofErr w:type="spellStart"/>
      <w:r>
        <w:t>Ltd’s</w:t>
      </w:r>
      <w:proofErr w:type="spellEnd"/>
      <w:r>
        <w:t xml:space="preserve"> ongoing commitment to achieving Net Zero by 2050 and supporting global and local environmental goals.</w:t>
      </w:r>
    </w:p>
    <w:p w14:paraId="0BFA2476" w14:textId="77777777" w:rsidR="00761739" w:rsidRDefault="00761739" w:rsidP="001E086C">
      <w:pPr>
        <w:jc w:val="both"/>
      </w:pPr>
      <w:r w:rsidRPr="00761739">
        <w:lastRenderedPageBreak/>
        <w:t xml:space="preserve">This plan is fully aligned with </w:t>
      </w:r>
      <w:r w:rsidRPr="00761739">
        <w:rPr>
          <w:b/>
          <w:bCs/>
        </w:rPr>
        <w:t>NHS England’s Net Zero Supplier Roadmap milestones</w:t>
      </w:r>
      <w:r w:rsidRPr="00761739">
        <w:t xml:space="preserve">, supporting the NHS ambition for a </w:t>
      </w:r>
      <w:r w:rsidRPr="00761739">
        <w:rPr>
          <w:b/>
          <w:bCs/>
        </w:rPr>
        <w:t>Net Zero supply chain by 2030 for direct emissions</w:t>
      </w:r>
      <w:r w:rsidRPr="00761739">
        <w:t xml:space="preserve"> and </w:t>
      </w:r>
      <w:r w:rsidRPr="00761739">
        <w:rPr>
          <w:b/>
          <w:bCs/>
        </w:rPr>
        <w:t>by 2045 for indirect emissions</w:t>
      </w:r>
      <w:r w:rsidRPr="00761739">
        <w:t>.</w:t>
      </w:r>
    </w:p>
    <w:p w14:paraId="0955BA84" w14:textId="0FB7746D" w:rsidR="00BA6736" w:rsidRDefault="00053609" w:rsidP="001E086C">
      <w:pPr>
        <w:jc w:val="both"/>
      </w:pPr>
      <w:r>
        <w:t>Signed on behalf of the Supplier:</w:t>
      </w:r>
    </w:p>
    <w:p w14:paraId="38E112C0" w14:textId="410CF87A" w:rsidR="00BA6736" w:rsidRDefault="00053609" w:rsidP="001E086C">
      <w:pPr>
        <w:jc w:val="both"/>
      </w:pPr>
      <w:r>
        <w:t xml:space="preserve">Name: </w:t>
      </w:r>
      <w:r w:rsidR="00AE6B32" w:rsidRPr="00AE6B32">
        <w:t xml:space="preserve">David </w:t>
      </w:r>
      <w:proofErr w:type="spellStart"/>
      <w:r w:rsidR="00AE6B32" w:rsidRPr="00AE6B32">
        <w:t>Adjarhore</w:t>
      </w:r>
      <w:proofErr w:type="spellEnd"/>
      <w:r w:rsidR="004C06EA">
        <w:t xml:space="preserve"> </w:t>
      </w:r>
      <w:proofErr w:type="gramStart"/>
      <w:r w:rsidR="004C06EA">
        <w:t>(</w:t>
      </w:r>
      <w:r w:rsidR="00AE6B32">
        <w:t xml:space="preserve"> </w:t>
      </w:r>
      <w:r w:rsidR="00462D46">
        <w:t>Nominated</w:t>
      </w:r>
      <w:proofErr w:type="gramEnd"/>
      <w:r w:rsidR="00462D46">
        <w:t xml:space="preserve"> Individual/ Director</w:t>
      </w:r>
      <w:r>
        <w:t>)</w:t>
      </w:r>
    </w:p>
    <w:p w14:paraId="2D991D74" w14:textId="6DE14744" w:rsidR="00BA6736" w:rsidRDefault="00053609" w:rsidP="001E086C">
      <w:pPr>
        <w:jc w:val="both"/>
      </w:pPr>
      <w:r>
        <w:t>Date:09/10/2025</w:t>
      </w:r>
    </w:p>
    <w:sectPr w:rsidR="00BA673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31E0AA2"/>
    <w:multiLevelType w:val="hybridMultilevel"/>
    <w:tmpl w:val="226CD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825B45"/>
    <w:multiLevelType w:val="hybridMultilevel"/>
    <w:tmpl w:val="6EB6A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AA15B4"/>
    <w:multiLevelType w:val="hybridMultilevel"/>
    <w:tmpl w:val="BE6A5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80072CA"/>
    <w:multiLevelType w:val="hybridMultilevel"/>
    <w:tmpl w:val="1534A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8505645">
    <w:abstractNumId w:val="8"/>
  </w:num>
  <w:num w:numId="2" w16cid:durableId="1473326458">
    <w:abstractNumId w:val="6"/>
  </w:num>
  <w:num w:numId="3" w16cid:durableId="1597514912">
    <w:abstractNumId w:val="5"/>
  </w:num>
  <w:num w:numId="4" w16cid:durableId="1860701539">
    <w:abstractNumId w:val="4"/>
  </w:num>
  <w:num w:numId="5" w16cid:durableId="2359831">
    <w:abstractNumId w:val="7"/>
  </w:num>
  <w:num w:numId="6" w16cid:durableId="131405402">
    <w:abstractNumId w:val="3"/>
  </w:num>
  <w:num w:numId="7" w16cid:durableId="1677224104">
    <w:abstractNumId w:val="2"/>
  </w:num>
  <w:num w:numId="8" w16cid:durableId="188877530">
    <w:abstractNumId w:val="1"/>
  </w:num>
  <w:num w:numId="9" w16cid:durableId="333535742">
    <w:abstractNumId w:val="0"/>
  </w:num>
  <w:num w:numId="10" w16cid:durableId="1985815671">
    <w:abstractNumId w:val="9"/>
  </w:num>
  <w:num w:numId="11" w16cid:durableId="1028674471">
    <w:abstractNumId w:val="12"/>
  </w:num>
  <w:num w:numId="12" w16cid:durableId="199707316">
    <w:abstractNumId w:val="10"/>
  </w:num>
  <w:num w:numId="13" w16cid:durableId="9873694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6EAF"/>
    <w:rsid w:val="00053609"/>
    <w:rsid w:val="0006063C"/>
    <w:rsid w:val="00060D7C"/>
    <w:rsid w:val="0009613C"/>
    <w:rsid w:val="0015074B"/>
    <w:rsid w:val="0016783A"/>
    <w:rsid w:val="001E086C"/>
    <w:rsid w:val="00225943"/>
    <w:rsid w:val="0029639D"/>
    <w:rsid w:val="002B0D23"/>
    <w:rsid w:val="00326F90"/>
    <w:rsid w:val="00412920"/>
    <w:rsid w:val="00462D46"/>
    <w:rsid w:val="004C06EA"/>
    <w:rsid w:val="005209B4"/>
    <w:rsid w:val="00761739"/>
    <w:rsid w:val="00880483"/>
    <w:rsid w:val="00890BCA"/>
    <w:rsid w:val="00AA1D8D"/>
    <w:rsid w:val="00AC485E"/>
    <w:rsid w:val="00AE6B32"/>
    <w:rsid w:val="00B0762A"/>
    <w:rsid w:val="00B106B4"/>
    <w:rsid w:val="00B47730"/>
    <w:rsid w:val="00B940F7"/>
    <w:rsid w:val="00BA6736"/>
    <w:rsid w:val="00C41014"/>
    <w:rsid w:val="00CB0664"/>
    <w:rsid w:val="00D568CA"/>
    <w:rsid w:val="00D83365"/>
    <w:rsid w:val="00D8365C"/>
    <w:rsid w:val="00DE1B2B"/>
    <w:rsid w:val="00DF465C"/>
    <w:rsid w:val="00E63A66"/>
    <w:rsid w:val="00F638F5"/>
    <w:rsid w:val="00F8454A"/>
    <w:rsid w:val="00FC693F"/>
    <w:rsid w:val="00FD43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B2BA32"/>
  <w14:defaultImageDpi w14:val="300"/>
  <w15:docId w15:val="{4C2715A8-4768-4D7B-A105-73C093151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4129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1088</Words>
  <Characters>6205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Tenders</cp:lastModifiedBy>
  <cp:revision>22</cp:revision>
  <dcterms:created xsi:type="dcterms:W3CDTF">2025-10-14T15:35:00Z</dcterms:created>
  <dcterms:modified xsi:type="dcterms:W3CDTF">2025-10-15T13:30:00Z</dcterms:modified>
  <cp:category/>
</cp:coreProperties>
</file>